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bookmarkStart w:id="0" w:name="_GoBack"/>
      <w:bookmarkEnd w:id="0"/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Default="00EC698F" w:rsidP="004F2205">
      <w:pPr>
        <w:spacing w:line="240" w:lineRule="atLeast"/>
        <w:ind w:left="-567"/>
        <w:rPr>
          <w:b/>
          <w:sz w:val="28"/>
        </w:rPr>
      </w:pPr>
      <w:r w:rsidRPr="00EC698F">
        <w:rPr>
          <w:b/>
          <w:sz w:val="28"/>
          <w:u w:val="single"/>
        </w:rPr>
        <w:t xml:space="preserve">31.08.2022 г. </w:t>
      </w:r>
      <w:r w:rsidR="004F2205" w:rsidRPr="007D5125">
        <w:rPr>
          <w:b/>
          <w:sz w:val="28"/>
        </w:rPr>
        <w:t xml:space="preserve">№  </w:t>
      </w:r>
      <w:r w:rsidRPr="00EC698F">
        <w:rPr>
          <w:b/>
          <w:sz w:val="28"/>
          <w:u w:val="single"/>
        </w:rPr>
        <w:t>411-п</w:t>
      </w:r>
      <w:r w:rsidR="004F2205" w:rsidRPr="007D5125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596E11">
        <w:rPr>
          <w:sz w:val="28"/>
          <w:szCs w:val="28"/>
        </w:rPr>
        <w:t>22 апреля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 xml:space="preserve">22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596E11">
        <w:rPr>
          <w:spacing w:val="-1"/>
          <w:sz w:val="28"/>
          <w:szCs w:val="28"/>
        </w:rPr>
        <w:t>175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lastRenderedPageBreak/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>
        <w:rPr>
          <w:sz w:val="28"/>
          <w:szCs w:val="28"/>
        </w:rPr>
        <w:t xml:space="preserve">а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 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EC698F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C4EB6"/>
    <w:rsid w:val="003061E1"/>
    <w:rsid w:val="004B6902"/>
    <w:rsid w:val="004F2205"/>
    <w:rsid w:val="00596E11"/>
    <w:rsid w:val="006E5940"/>
    <w:rsid w:val="00710F93"/>
    <w:rsid w:val="007D5125"/>
    <w:rsid w:val="00B369C4"/>
    <w:rsid w:val="00CE5FD4"/>
    <w:rsid w:val="00E5610F"/>
    <w:rsid w:val="00EC2327"/>
    <w:rsid w:val="00EC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cp:lastPrinted>2022-08-30T11:17:00Z</cp:lastPrinted>
  <dcterms:created xsi:type="dcterms:W3CDTF">2022-05-05T03:52:00Z</dcterms:created>
  <dcterms:modified xsi:type="dcterms:W3CDTF">2025-05-26T10:32:00Z</dcterms:modified>
</cp:coreProperties>
</file>