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E81DA9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bookmarkStart w:id="0" w:name="_GoBack"/>
      <w:bookmarkEnd w:id="0"/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Pr="00C202C0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1 083 267 341,03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 xml:space="preserve">1 083 267 341,03  </w:t>
      </w:r>
      <w:r w:rsidRPr="00C202C0">
        <w:rPr>
          <w:szCs w:val="28"/>
        </w:rPr>
        <w:t>рублей;</w:t>
      </w:r>
      <w:r w:rsidR="00E81DA9">
        <w:fldChar w:fldCharType="begin"/>
      </w:r>
      <w:r w:rsidR="00E81DA9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E81DA9">
        <w:fldChar w:fldCharType="separate"/>
      </w:r>
      <w:r w:rsidRPr="00C202C0">
        <w:t xml:space="preserve"> </w:t>
      </w:r>
      <w:r w:rsidR="00E81DA9">
        <w:fldChar w:fldCharType="end"/>
      </w:r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>в размере 0,00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971 094 317,79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1 005 669 535,19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E81DA9" w:rsidP="00424C75">
      <w:pPr>
        <w:pStyle w:val="a3"/>
        <w:spacing w:line="240" w:lineRule="auto"/>
        <w:ind w:firstLine="0"/>
        <w:rPr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971 094 317,79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C202C0">
        <w:rPr>
          <w:szCs w:val="28"/>
        </w:rPr>
        <w:lastRenderedPageBreak/>
        <w:t xml:space="preserve">сумме </w:t>
      </w:r>
      <w:r w:rsidR="00F0242B" w:rsidRPr="00C202C0">
        <w:rPr>
          <w:szCs w:val="28"/>
        </w:rPr>
        <w:t>11 008 682,94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1 005 669 535,19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r w:rsidR="00E81DA9">
        <w:fldChar w:fldCharType="begin"/>
      </w:r>
      <w:r w:rsidR="00E81DA9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E81DA9">
        <w:fldChar w:fldCharType="separate"/>
      </w:r>
      <w:r w:rsidR="003A7A64" w:rsidRPr="00C202C0">
        <w:t>2</w:t>
      </w:r>
      <w:r w:rsidRPr="00C202C0">
        <w:t xml:space="preserve">. </w:t>
      </w:r>
      <w:r w:rsidRPr="00C202C0">
        <w:rPr>
          <w:iCs/>
        </w:rPr>
        <w:t xml:space="preserve">Утвердить </w:t>
      </w:r>
      <w:hyperlink r:id="rId10" w:history="1">
        <w:r w:rsidRPr="00C202C0">
          <w:rPr>
            <w:iCs/>
          </w:rPr>
          <w:t>безвозмездные поступления</w:t>
        </w:r>
      </w:hyperlink>
      <w:r w:rsidRPr="00C202C0">
        <w:rPr>
          <w:iCs/>
        </w:rPr>
        <w:t xml:space="preserve"> в бюджет </w:t>
      </w:r>
      <w:r w:rsidRPr="00C202C0">
        <w:rPr>
          <w:szCs w:val="28"/>
        </w:rPr>
        <w:t>муниципального района</w:t>
      </w:r>
      <w:r w:rsidRPr="00C202C0">
        <w:rPr>
          <w:iCs/>
        </w:rPr>
        <w:t xml:space="preserve"> </w:t>
      </w:r>
      <w:r w:rsidR="009A4D16" w:rsidRPr="00C202C0">
        <w:rPr>
          <w:iCs/>
        </w:rPr>
        <w:t>на 20</w:t>
      </w:r>
      <w:r w:rsidR="00B85D3C" w:rsidRPr="00C202C0">
        <w:rPr>
          <w:iCs/>
        </w:rPr>
        <w:t>2</w:t>
      </w:r>
      <w:r w:rsidR="00695BFC" w:rsidRPr="00C202C0">
        <w:rPr>
          <w:iCs/>
        </w:rPr>
        <w:t>4</w:t>
      </w:r>
      <w:r w:rsidR="009A4D16" w:rsidRPr="00C202C0">
        <w:rPr>
          <w:iCs/>
        </w:rPr>
        <w:t xml:space="preserve"> год и на плановый период 20</w:t>
      </w:r>
      <w:r w:rsidR="005403C3" w:rsidRPr="00C202C0">
        <w:rPr>
          <w:iCs/>
        </w:rPr>
        <w:t>2</w:t>
      </w:r>
      <w:r w:rsidR="00695BFC" w:rsidRPr="00C202C0">
        <w:rPr>
          <w:iCs/>
        </w:rPr>
        <w:t>5</w:t>
      </w:r>
      <w:r w:rsidR="009A4D16" w:rsidRPr="00C202C0">
        <w:rPr>
          <w:iCs/>
        </w:rPr>
        <w:t xml:space="preserve"> и 20</w:t>
      </w:r>
      <w:r w:rsidR="00B618E8" w:rsidRPr="00C202C0">
        <w:rPr>
          <w:iCs/>
        </w:rPr>
        <w:t>2</w:t>
      </w:r>
      <w:r w:rsidR="00695BFC" w:rsidRPr="00C202C0">
        <w:rPr>
          <w:iCs/>
        </w:rPr>
        <w:t>6</w:t>
      </w:r>
      <w:r w:rsidR="009A4D16" w:rsidRPr="00C202C0">
        <w:rPr>
          <w:iCs/>
        </w:rPr>
        <w:t xml:space="preserve"> годов согласно приложению </w:t>
      </w:r>
      <w:r w:rsidR="009A4D16" w:rsidRPr="00C202C0">
        <w:rPr>
          <w:szCs w:val="28"/>
        </w:rPr>
        <w:t xml:space="preserve">№ </w:t>
      </w:r>
      <w:r w:rsidR="005C0B82" w:rsidRPr="00C202C0">
        <w:rPr>
          <w:szCs w:val="28"/>
        </w:rPr>
        <w:t>2</w:t>
      </w:r>
      <w:r w:rsidR="009A4D16" w:rsidRPr="00C202C0">
        <w:rPr>
          <w:szCs w:val="28"/>
        </w:rPr>
        <w:t xml:space="preserve"> к настоящему решению</w:t>
      </w:r>
      <w:r w:rsidRPr="00C202C0">
        <w:rPr>
          <w:szCs w:val="28"/>
        </w:rPr>
        <w:t>.</w:t>
      </w:r>
      <w:r w:rsidR="00E81DA9">
        <w:rPr>
          <w:szCs w:val="28"/>
        </w:rPr>
        <w:fldChar w:fldCharType="end"/>
      </w:r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84037F" w:rsidRPr="00C202C0">
        <w:rPr>
          <w:sz w:val="28"/>
          <w:szCs w:val="28"/>
        </w:rPr>
        <w:t>9 158 638,00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>9 369 764</w:t>
      </w:r>
      <w:r w:rsidR="004C4FD4" w:rsidRPr="00C202C0">
        <w:rPr>
          <w:sz w:val="28"/>
          <w:szCs w:val="28"/>
        </w:rPr>
        <w:t>,00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84037F" w:rsidRPr="00C202C0">
        <w:rPr>
          <w:sz w:val="28"/>
          <w:szCs w:val="28"/>
        </w:rPr>
        <w:t>12 636 233</w:t>
      </w:r>
      <w:r w:rsidR="004C4FD4" w:rsidRPr="00C202C0">
        <w:rPr>
          <w:sz w:val="28"/>
          <w:szCs w:val="28"/>
        </w:rPr>
        <w:t>,00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r w:rsidR="00E81DA9">
        <w:fldChar w:fldCharType="begin"/>
      </w:r>
      <w:r w:rsidR="00E81DA9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E81DA9">
        <w:fldChar w:fldCharType="separate"/>
      </w:r>
      <w:r w:rsidRPr="00C202C0">
        <w:rPr>
          <w:sz w:val="28"/>
          <w:szCs w:val="28"/>
        </w:rPr>
        <w:t>3.3. Утвердить:</w:t>
      </w:r>
      <w:r w:rsidRPr="00C202C0">
        <w:t xml:space="preserve"> </w:t>
      </w:r>
      <w:r w:rsidR="00E81DA9">
        <w:fldChar w:fldCharType="end"/>
      </w:r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r w:rsidR="00E81DA9">
        <w:fldChar w:fldCharType="begin"/>
      </w:r>
      <w:r w:rsidR="00E81DA9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81DA9">
        <w:fldChar w:fldCharType="separate"/>
      </w:r>
      <w:r w:rsidRPr="00C202C0">
        <w:rPr>
          <w:sz w:val="28"/>
          <w:szCs w:val="28"/>
        </w:rPr>
        <w:t xml:space="preserve">3) ведомственную структуру расходов бюджета </w:t>
      </w:r>
      <w:r w:rsidR="00B03591" w:rsidRPr="00C202C0">
        <w:rPr>
          <w:sz w:val="28"/>
          <w:szCs w:val="28"/>
        </w:rPr>
        <w:t xml:space="preserve">муниципального района </w:t>
      </w:r>
      <w:r w:rsidR="00C14F99" w:rsidRPr="00C202C0">
        <w:rPr>
          <w:sz w:val="28"/>
          <w:szCs w:val="28"/>
        </w:rPr>
        <w:t>на 20</w:t>
      </w:r>
      <w:r w:rsidR="00EF2F63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C14F99" w:rsidRPr="00C202C0">
        <w:rPr>
          <w:sz w:val="28"/>
          <w:szCs w:val="28"/>
        </w:rPr>
        <w:t xml:space="preserve"> год и на плановый период 20</w:t>
      </w:r>
      <w:r w:rsidR="003C2F44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и 20</w:t>
      </w:r>
      <w:r w:rsidR="00C02F1B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C14F99" w:rsidRPr="00C202C0">
        <w:rPr>
          <w:sz w:val="28"/>
          <w:szCs w:val="28"/>
        </w:rPr>
        <w:t xml:space="preserve"> годов согласно приложению № </w:t>
      </w:r>
      <w:r w:rsidR="00FA77D7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к настоящему решению.</w:t>
      </w:r>
      <w:r w:rsidRPr="00C202C0">
        <w:t xml:space="preserve"> </w:t>
      </w:r>
      <w:r w:rsidR="00E81DA9">
        <w:fldChar w:fldCharType="end"/>
      </w:r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lastRenderedPageBreak/>
        <w:t>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E81DA9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C202C0">
        <w:t xml:space="preserve"> </w:t>
      </w:r>
      <w:r>
        <w:fldChar w:fldCharType="end"/>
      </w:r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E81DA9">
        <w:fldChar w:fldCharType="begin"/>
      </w:r>
      <w:r w:rsidR="00E81DA9"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 w:rsidR="00E81DA9">
        <w:fldChar w:fldCharType="separate"/>
      </w:r>
      <w:r w:rsidRPr="00C202C0">
        <w:t xml:space="preserve"> </w:t>
      </w:r>
      <w:r w:rsidR="00E81DA9">
        <w:fldChar w:fldCharType="end"/>
      </w:r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lastRenderedPageBreak/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E81DA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E81DA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"$#/$\%^ТипКласса:ПолеНомер;Идентификатор:НомерЭлемента;Позиция</w:instrText>
      </w:r>
      <w:r>
        <w:instrText xml:space="preserve">Номера:2;СтильНомера:Алфавитная;РазделительНомера:)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lastRenderedPageBreak/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lastRenderedPageBreak/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E81DA9">
        <w:fldChar w:fldCharType="begin"/>
      </w:r>
      <w:r w:rsidR="00E81DA9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E81DA9">
        <w:fldChar w:fldCharType="separate"/>
      </w:r>
      <w:r w:rsidRPr="00C202C0">
        <w:t xml:space="preserve"> </w:t>
      </w:r>
      <w:r w:rsidR="00E81DA9">
        <w:fldChar w:fldCharType="end"/>
      </w:r>
      <w:r w:rsidR="00E81DA9">
        <w:fldChar w:fldCharType="begin"/>
      </w:r>
      <w:r w:rsidR="00E81DA9">
        <w:instrText xml:space="preserve"> COMMENTS "а) "$#/$\%^ТипКласса:ПолеНомер;Идентификатор:Ном</w:instrText>
      </w:r>
      <w:r w:rsidR="00E81DA9">
        <w:instrText xml:space="preserve">ерЭлемента;ПозицияНомера:1;СтильНомера:Алфавитная;РазделительНомера:) ;$#\$/%^\* MERGEFORMAT \* MERGEFORMAT </w:instrText>
      </w:r>
      <w:r w:rsidR="00E81DA9">
        <w:fldChar w:fldCharType="separate"/>
      </w:r>
      <w:r w:rsidRPr="00C202C0">
        <w:t xml:space="preserve"> </w:t>
      </w:r>
      <w:r w:rsidR="00E81DA9">
        <w:fldChar w:fldCharType="end"/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E81DA9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>муниципальными учреждениями Любинского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17156E" w:rsidRPr="00C202C0" w:rsidRDefault="00F73CE7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 </w:t>
      </w:r>
      <w:r w:rsidR="00AA6EC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9D270A" w:rsidRPr="00C202C0">
        <w:rPr>
          <w:bCs/>
          <w:sz w:val="28"/>
          <w:szCs w:val="28"/>
        </w:rPr>
        <w:t>694 219 769,85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9D270A" w:rsidRPr="00C202C0">
        <w:rPr>
          <w:bCs/>
          <w:sz w:val="28"/>
          <w:szCs w:val="28"/>
        </w:rPr>
        <w:t>561 906 487,39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82 609 750,00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ED121F" w:rsidRPr="00C202C0">
        <w:rPr>
          <w:sz w:val="28"/>
          <w:szCs w:val="28"/>
        </w:rPr>
        <w:t>12 275 807,00</w:t>
      </w:r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lastRenderedPageBreak/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364914" w:rsidRPr="00C202C0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7A06D1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E81DA9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</w:t>
      </w:r>
      <w:r w:rsidRPr="00C202C0">
        <w:rPr>
          <w:sz w:val="28"/>
          <w:szCs w:val="28"/>
        </w:rPr>
        <w:lastRenderedPageBreak/>
        <w:t>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lastRenderedPageBreak/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r w:rsidR="00E81DA9">
        <w:fldChar w:fldCharType="begin"/>
      </w:r>
      <w:r w:rsidR="00E81DA9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E81DA9">
        <w:fldChar w:fldCharType="separate"/>
      </w:r>
      <w:r w:rsidRPr="00C202C0">
        <w:t xml:space="preserve"> </w:t>
      </w:r>
      <w:r w:rsidR="00E81DA9">
        <w:fldChar w:fldCharType="end"/>
      </w:r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94" w:rsidRDefault="00687394" w:rsidP="00BC28B8">
      <w:r>
        <w:separator/>
      </w:r>
    </w:p>
  </w:endnote>
  <w:endnote w:type="continuationSeparator" w:id="0">
    <w:p w:rsidR="00687394" w:rsidRDefault="0068739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94" w:rsidRDefault="00687394" w:rsidP="00BC28B8">
      <w:r>
        <w:separator/>
      </w:r>
    </w:p>
  </w:footnote>
  <w:footnote w:type="continuationSeparator" w:id="0">
    <w:p w:rsidR="00687394" w:rsidRDefault="0068739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DA9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F4648-9D1C-47EF-9275-E0C24C06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13076</TotalTime>
  <Pages>10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1461</cp:revision>
  <cp:lastPrinted>2023-12-18T08:58:00Z</cp:lastPrinted>
  <dcterms:created xsi:type="dcterms:W3CDTF">2014-11-04T04:27:00Z</dcterms:created>
  <dcterms:modified xsi:type="dcterms:W3CDTF">2024-01-11T04:37:00Z</dcterms:modified>
</cp:coreProperties>
</file>